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D0C44" w:rsidRPr="005A4713" w14:paraId="2DB56594" w14:textId="77777777" w:rsidTr="0088322E">
        <w:tc>
          <w:tcPr>
            <w:tcW w:w="10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5933A7B3" w14:textId="77777777" w:rsidR="00CD0C44" w:rsidRPr="005A4713" w:rsidRDefault="00CD0C44" w:rsidP="0088322E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  <w:kern w:val="32"/>
                <w:szCs w:val="22"/>
              </w:rPr>
            </w:pPr>
          </w:p>
        </w:tc>
      </w:tr>
      <w:tr w:rsidR="00CD0C44" w:rsidRPr="005A4713" w14:paraId="540D222B" w14:textId="77777777" w:rsidTr="0088322E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6B9A8" w14:textId="77777777" w:rsidR="00CD0C44" w:rsidRPr="00407A97" w:rsidRDefault="00CD0C44" w:rsidP="0088322E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  <w:kern w:val="32"/>
                <w:sz w:val="24"/>
                <w:szCs w:val="22"/>
              </w:rPr>
            </w:pPr>
            <w:r w:rsidRPr="00407A97">
              <w:rPr>
                <w:rFonts w:asciiTheme="minorHAnsi" w:hAnsiTheme="minorHAnsi" w:cs="Arial"/>
                <w:b/>
                <w:bCs/>
                <w:kern w:val="32"/>
                <w:sz w:val="24"/>
                <w:szCs w:val="22"/>
              </w:rPr>
              <w:t>Award name: Education Through Cashback</w:t>
            </w:r>
            <w:r>
              <w:rPr>
                <w:rFonts w:asciiTheme="minorHAnsi" w:hAnsiTheme="minorHAnsi" w:cs="Arial"/>
                <w:b/>
                <w:bCs/>
                <w:kern w:val="32"/>
                <w:sz w:val="24"/>
                <w:szCs w:val="22"/>
              </w:rPr>
              <w:t xml:space="preserve"> *non-accredited*</w:t>
            </w:r>
          </w:p>
        </w:tc>
      </w:tr>
      <w:tr w:rsidR="00CD0C44" w:rsidRPr="005A4713" w14:paraId="5F755177" w14:textId="77777777" w:rsidTr="0088322E">
        <w:trPr>
          <w:trHeight w:val="551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4B80C" w14:textId="77777777" w:rsidR="00CD0C44" w:rsidRPr="00407A97" w:rsidRDefault="00CD0C44" w:rsidP="0088322E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07A97">
              <w:rPr>
                <w:rFonts w:asciiTheme="minorHAnsi" w:hAnsiTheme="minorHAnsi" w:cs="Arial"/>
                <w:b/>
                <w:sz w:val="24"/>
                <w:szCs w:val="22"/>
              </w:rPr>
              <w:t xml:space="preserve">Module </w:t>
            </w:r>
            <w:r>
              <w:rPr>
                <w:rFonts w:asciiTheme="minorHAnsi" w:hAnsiTheme="minorHAnsi" w:cs="Arial"/>
                <w:b/>
                <w:sz w:val="24"/>
                <w:szCs w:val="22"/>
              </w:rPr>
              <w:t>5</w:t>
            </w:r>
            <w:r w:rsidRPr="00407A97">
              <w:rPr>
                <w:rFonts w:asciiTheme="minorHAnsi" w:hAnsiTheme="minorHAnsi" w:cs="Arial"/>
                <w:b/>
                <w:sz w:val="24"/>
                <w:szCs w:val="22"/>
              </w:rPr>
              <w:t xml:space="preserve"> : </w:t>
            </w:r>
            <w:r>
              <w:rPr>
                <w:rFonts w:asciiTheme="minorHAnsi" w:hAnsiTheme="minorHAnsi" w:cs="Arial"/>
                <w:b/>
                <w:sz w:val="24"/>
                <w:szCs w:val="22"/>
              </w:rPr>
              <w:t xml:space="preserve">Mental Health and Wellbeing in Sport </w:t>
            </w:r>
          </w:p>
        </w:tc>
      </w:tr>
      <w:tr w:rsidR="00CD0C44" w:rsidRPr="005A4713" w14:paraId="07D09C0C" w14:textId="77777777" w:rsidTr="0088322E">
        <w:trPr>
          <w:trHeight w:val="187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32C32968" w14:textId="77777777" w:rsidR="00CD0C44" w:rsidRPr="005A4713" w:rsidRDefault="00CD0C44" w:rsidP="0088322E">
            <w:pPr>
              <w:rPr>
                <w:rFonts w:asciiTheme="minorHAnsi" w:hAnsiTheme="minorHAnsi" w:cs="Arial"/>
                <w:szCs w:val="22"/>
              </w:rPr>
            </w:pPr>
          </w:p>
          <w:p w14:paraId="3BEB9BA1" w14:textId="58BE383E" w:rsidR="009C0A78" w:rsidRDefault="00CD0C44" w:rsidP="008832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This interactive workshop provides both young people (16+) and adults an opportunity to explore mental health and wellbeing within a sporting context. </w:t>
            </w:r>
          </w:p>
          <w:p w14:paraId="63EF7395" w14:textId="77777777" w:rsidR="009C0A78" w:rsidRDefault="00CD0C44" w:rsidP="008832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Being physically active is proven to have a positive impact on our mental health and wellbeing</w:t>
            </w:r>
            <w:r w:rsidR="009C0A78">
              <w:rPr>
                <w:rFonts w:asciiTheme="minorHAnsi" w:hAnsiTheme="minorHAnsi" w:cs="Arial"/>
                <w:szCs w:val="22"/>
              </w:rPr>
              <w:t>.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="009C0A78">
              <w:rPr>
                <w:rFonts w:asciiTheme="minorHAnsi" w:hAnsiTheme="minorHAnsi" w:cs="Arial"/>
                <w:szCs w:val="22"/>
              </w:rPr>
              <w:t>H</w:t>
            </w:r>
            <w:r>
              <w:rPr>
                <w:rFonts w:asciiTheme="minorHAnsi" w:hAnsiTheme="minorHAnsi" w:cs="Arial"/>
                <w:szCs w:val="22"/>
              </w:rPr>
              <w:t>owever</w:t>
            </w:r>
            <w:r w:rsidR="009C0A78">
              <w:rPr>
                <w:rFonts w:asciiTheme="minorHAnsi" w:hAnsiTheme="minorHAnsi" w:cs="Arial"/>
                <w:szCs w:val="22"/>
              </w:rPr>
              <w:t>,</w:t>
            </w:r>
            <w:r>
              <w:rPr>
                <w:rFonts w:asciiTheme="minorHAnsi" w:hAnsiTheme="minorHAnsi" w:cs="Arial"/>
                <w:szCs w:val="22"/>
              </w:rPr>
              <w:t xml:space="preserve"> it is still essential that we promote environments which are conscious to potential impacts on</w:t>
            </w:r>
            <w:r w:rsidR="009C0A78">
              <w:rPr>
                <w:rFonts w:asciiTheme="minorHAnsi" w:hAnsiTheme="minorHAnsi" w:cs="Arial"/>
                <w:szCs w:val="22"/>
              </w:rPr>
              <w:t xml:space="preserve"> an</w:t>
            </w:r>
            <w:r>
              <w:rPr>
                <w:rFonts w:asciiTheme="minorHAnsi" w:hAnsiTheme="minorHAnsi" w:cs="Arial"/>
                <w:szCs w:val="22"/>
              </w:rPr>
              <w:t xml:space="preserve"> individual’s mental wellbeing and create supportive spaces which enable mental health and wellbeing conversation to happen.</w:t>
            </w:r>
            <w:r w:rsidR="009C0A78">
              <w:rPr>
                <w:rFonts w:asciiTheme="minorHAnsi" w:hAnsiTheme="minorHAnsi" w:cs="Arial"/>
                <w:szCs w:val="22"/>
              </w:rPr>
              <w:t xml:space="preserve"> This module will explore the signs and symptoms of someone struggling with poor mental health and provide practical tools to create a safe space in which to have mental health and wellbeing conversations. </w:t>
            </w:r>
          </w:p>
          <w:p w14:paraId="3522818C" w14:textId="77ADDC75" w:rsidR="00CD0C44" w:rsidRPr="005A4713" w:rsidRDefault="00CD0C44" w:rsidP="008832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CD0C44" w:rsidRPr="005A4713" w14:paraId="21F0AF04" w14:textId="77777777" w:rsidTr="0088322E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FF3712" w14:textId="77777777" w:rsidR="00CD0C44" w:rsidRPr="005A4713" w:rsidRDefault="00CD0C44" w:rsidP="0088322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D0C44" w:rsidRPr="005A4713" w14:paraId="55814532" w14:textId="77777777" w:rsidTr="0088322E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70180" w14:textId="77777777" w:rsidR="00CD0C44" w:rsidRPr="005A4713" w:rsidRDefault="00CD0C44" w:rsidP="0088322E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Learning Outcomes</w:t>
            </w:r>
          </w:p>
        </w:tc>
      </w:tr>
      <w:tr w:rsidR="00CD0C44" w:rsidRPr="005A4713" w14:paraId="0327E618" w14:textId="77777777" w:rsidTr="0088322E">
        <w:trPr>
          <w:trHeight w:val="307"/>
        </w:trPr>
        <w:tc>
          <w:tcPr>
            <w:tcW w:w="10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4863C2" w14:textId="77777777" w:rsidR="00CD0C44" w:rsidRPr="005A4713" w:rsidRDefault="00CD0C44" w:rsidP="0088322E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</w:rPr>
            </w:pPr>
            <w:r w:rsidRPr="005A4713">
              <w:rPr>
                <w:rFonts w:asciiTheme="minorHAnsi" w:hAnsiTheme="minorHAnsi" w:cs="Arial"/>
                <w:szCs w:val="22"/>
              </w:rPr>
              <w:t xml:space="preserve">1.1 </w:t>
            </w:r>
            <w:r>
              <w:rPr>
                <w:rFonts w:asciiTheme="minorHAnsi" w:hAnsiTheme="minorHAnsi" w:cs="Arial"/>
                <w:szCs w:val="22"/>
              </w:rPr>
              <w:t>Understand what mental health and wellbeing means to you</w:t>
            </w:r>
          </w:p>
        </w:tc>
      </w:tr>
      <w:tr w:rsidR="00CD0C44" w:rsidRPr="005A4713" w14:paraId="6195226D" w14:textId="77777777" w:rsidTr="0088322E">
        <w:trPr>
          <w:trHeight w:val="70"/>
        </w:trPr>
        <w:tc>
          <w:tcPr>
            <w:tcW w:w="10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B2C750" w14:textId="77777777" w:rsidR="00CD0C44" w:rsidRPr="005A4713" w:rsidRDefault="00CD0C44" w:rsidP="0088322E">
            <w:pPr>
              <w:spacing w:before="100" w:beforeAutospacing="1"/>
              <w:rPr>
                <w:rFonts w:asciiTheme="minorHAnsi" w:hAnsiTheme="minorHAnsi" w:cs="Arial"/>
                <w:szCs w:val="22"/>
              </w:rPr>
            </w:pPr>
            <w:r w:rsidRPr="005A4713">
              <w:rPr>
                <w:rFonts w:asciiTheme="minorHAnsi" w:hAnsiTheme="minorHAnsi" w:cs="Arial"/>
                <w:szCs w:val="22"/>
              </w:rPr>
              <w:t xml:space="preserve">1.2 </w:t>
            </w:r>
            <w:r>
              <w:rPr>
                <w:rFonts w:asciiTheme="minorHAnsi" w:hAnsiTheme="minorHAnsi" w:cs="Arial"/>
                <w:szCs w:val="22"/>
              </w:rPr>
              <w:t xml:space="preserve">Discover why mental health and wellbeing is important in sport </w:t>
            </w:r>
          </w:p>
        </w:tc>
      </w:tr>
      <w:tr w:rsidR="00CD0C44" w:rsidRPr="005A4713" w14:paraId="63AC13C6" w14:textId="77777777" w:rsidTr="0088322E">
        <w:trPr>
          <w:trHeight w:val="273"/>
        </w:trPr>
        <w:tc>
          <w:tcPr>
            <w:tcW w:w="10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6A2B0" w14:textId="77777777" w:rsidR="00CD0C44" w:rsidRPr="005A4713" w:rsidRDefault="00CD0C44" w:rsidP="0088322E">
            <w:pPr>
              <w:spacing w:before="100" w:beforeAutospacing="1"/>
              <w:rPr>
                <w:rFonts w:asciiTheme="minorHAnsi" w:hAnsiTheme="minorHAnsi" w:cs="Arial"/>
                <w:szCs w:val="22"/>
              </w:rPr>
            </w:pPr>
            <w:r w:rsidRPr="005A4713">
              <w:rPr>
                <w:rFonts w:asciiTheme="minorHAnsi" w:hAnsiTheme="minorHAnsi" w:cs="Arial"/>
                <w:szCs w:val="22"/>
              </w:rPr>
              <w:t xml:space="preserve">1.3 Explain </w:t>
            </w:r>
            <w:r>
              <w:rPr>
                <w:rFonts w:asciiTheme="minorHAnsi" w:hAnsiTheme="minorHAnsi" w:cs="Arial"/>
                <w:szCs w:val="22"/>
              </w:rPr>
              <w:t xml:space="preserve">what could impact a young person’s mental health and wellbeing </w:t>
            </w:r>
          </w:p>
        </w:tc>
      </w:tr>
      <w:tr w:rsidR="00CD0C44" w:rsidRPr="005A4713" w14:paraId="4702FF1F" w14:textId="77777777" w:rsidTr="0088322E">
        <w:trPr>
          <w:trHeight w:val="273"/>
        </w:trPr>
        <w:tc>
          <w:tcPr>
            <w:tcW w:w="10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7F8AF7" w14:textId="77777777" w:rsidR="00CD0C44" w:rsidRPr="005A4713" w:rsidRDefault="00CD0C44" w:rsidP="0088322E">
            <w:pPr>
              <w:spacing w:before="100" w:beforeAutospacing="1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1.4 Understand how to create a space to enable mental health and wellbeing conversations and the potential barriers.</w:t>
            </w:r>
          </w:p>
        </w:tc>
      </w:tr>
    </w:tbl>
    <w:p w14:paraId="34149C91" w14:textId="549E7AC8" w:rsidR="00775CBD" w:rsidRDefault="00775CBD"/>
    <w:p w14:paraId="5ED9301C" w14:textId="4D1779C3" w:rsidR="00CD0C44" w:rsidRDefault="00CD0C44"/>
    <w:p w14:paraId="280C9994" w14:textId="08927634" w:rsidR="00CD0C44" w:rsidRDefault="00CD0C44">
      <w:pPr>
        <w:rPr>
          <w:rFonts w:ascii="Calibri" w:hAnsi="Calibri"/>
          <w:b/>
          <w:bCs/>
        </w:rPr>
      </w:pPr>
      <w:r w:rsidRPr="00CD0C44">
        <w:rPr>
          <w:rFonts w:ascii="Calibri" w:hAnsi="Calibri"/>
          <w:b/>
          <w:bCs/>
        </w:rPr>
        <w:t>Learning Outcomes on PP presentation</w:t>
      </w:r>
      <w:r>
        <w:rPr>
          <w:rFonts w:ascii="Calibri" w:hAnsi="Calibri"/>
          <w:b/>
          <w:bCs/>
        </w:rPr>
        <w:t xml:space="preserve"> (part 1)</w:t>
      </w:r>
    </w:p>
    <w:p w14:paraId="60507C86" w14:textId="77777777" w:rsidR="00CD0C44" w:rsidRPr="00CD0C44" w:rsidRDefault="00CD0C44">
      <w:pPr>
        <w:rPr>
          <w:rFonts w:ascii="Calibri" w:hAnsi="Calibri"/>
          <w:b/>
          <w:bCs/>
        </w:rPr>
      </w:pPr>
    </w:p>
    <w:p w14:paraId="3232F211" w14:textId="32A62CD4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 w:rsidRPr="00CD0C44">
        <w:rPr>
          <w:rFonts w:ascii="Calibri" w:hAnsi="Calibri"/>
          <w:lang w:val="en-US"/>
        </w:rPr>
        <w:t>Discuss what sport and physical activity means to you</w:t>
      </w:r>
    </w:p>
    <w:p w14:paraId="677D3916" w14:textId="0AC5FCB2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>Discuss what mental health and wellbeing means to you and why it is important in sport?</w:t>
      </w:r>
    </w:p>
    <w:p w14:paraId="4A03E2B3" w14:textId="60333C15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Explore the benefits of sport/physical activity </w:t>
      </w:r>
    </w:p>
    <w:p w14:paraId="121CC17A" w14:textId="2894E59F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Discuss what could impact an individual’s mental health and wellbeing? </w:t>
      </w:r>
    </w:p>
    <w:p w14:paraId="74370DA1" w14:textId="7339BF21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Explore Stress/Pressure/Mood/Anxiety/Depression – signs and symptoms </w:t>
      </w:r>
    </w:p>
    <w:p w14:paraId="7F12CF0C" w14:textId="096641F0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Provide you with resources </w:t>
      </w:r>
    </w:p>
    <w:p w14:paraId="0F9DFF6A" w14:textId="77777777" w:rsidR="00CD0C44" w:rsidRPr="00CD0C44" w:rsidRDefault="00CD0C44" w:rsidP="00CD0C44">
      <w:pPr>
        <w:rPr>
          <w:rFonts w:ascii="Calibri" w:hAnsi="Calibri"/>
        </w:rPr>
      </w:pPr>
    </w:p>
    <w:p w14:paraId="654B9210" w14:textId="79A41E3A" w:rsidR="00CD0C44" w:rsidRDefault="00CD0C44" w:rsidP="00CD0C44">
      <w:pPr>
        <w:rPr>
          <w:rFonts w:ascii="Calibri" w:hAnsi="Calibri"/>
          <w:b/>
          <w:bCs/>
        </w:rPr>
      </w:pPr>
      <w:r w:rsidRPr="00CD0C44">
        <w:rPr>
          <w:rFonts w:ascii="Calibri" w:hAnsi="Calibri"/>
          <w:b/>
          <w:bCs/>
        </w:rPr>
        <w:t>Learning Outcomes on PP presentation</w:t>
      </w:r>
      <w:r>
        <w:rPr>
          <w:rFonts w:ascii="Calibri" w:hAnsi="Calibri"/>
          <w:b/>
          <w:bCs/>
        </w:rPr>
        <w:t xml:space="preserve"> (part 2)</w:t>
      </w:r>
    </w:p>
    <w:p w14:paraId="3B5C4952" w14:textId="77777777" w:rsidR="00CD0C44" w:rsidRPr="00CD0C44" w:rsidRDefault="00CD0C44" w:rsidP="00CD0C44">
      <w:pPr>
        <w:rPr>
          <w:rFonts w:ascii="Calibri" w:hAnsi="Calibri"/>
        </w:rPr>
      </w:pPr>
    </w:p>
    <w:p w14:paraId="5E759106" w14:textId="32FC4BDC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Discuss how to create a supportive space to enable mental health and wellbeing conversations </w:t>
      </w:r>
    </w:p>
    <w:p w14:paraId="5F4982E5" w14:textId="13F70F31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Explore our approach to mental health and wellbeing conversations </w:t>
      </w:r>
    </w:p>
    <w:p w14:paraId="222F84BA" w14:textId="3ECFCEB5" w:rsidR="00CD0C44" w:rsidRPr="00CD0C44" w:rsidRDefault="00CD0C44" w:rsidP="00CD0C4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Getting to know participants </w:t>
      </w:r>
    </w:p>
    <w:p w14:paraId="14039EE0" w14:textId="5ABF297D" w:rsidR="00CD0C44" w:rsidRPr="00CD0C44" w:rsidRDefault="00CD0C44" w:rsidP="00CD0C4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Empathy </w:t>
      </w:r>
    </w:p>
    <w:p w14:paraId="69F2BFE7" w14:textId="004E0FDD" w:rsidR="00CD0C44" w:rsidRPr="00CD0C44" w:rsidRDefault="00CD0C44" w:rsidP="00CD0C4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Assumptions </w:t>
      </w:r>
    </w:p>
    <w:p w14:paraId="20B8FA87" w14:textId="7F0E6B9B" w:rsidR="00CD0C44" w:rsidRPr="00CD0C44" w:rsidRDefault="00CD0C44" w:rsidP="00CD0C4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Active listening </w:t>
      </w:r>
    </w:p>
    <w:p w14:paraId="736FDF50" w14:textId="080E7D3B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Discuss the barriers to mental health conversations (real and perceived) </w:t>
      </w:r>
    </w:p>
    <w:p w14:paraId="25D6EAD6" w14:textId="2EE6FD47" w:rsidR="00CD0C44" w:rsidRPr="00CD0C44" w:rsidRDefault="00CD0C44" w:rsidP="00CD0C4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D0C44">
        <w:rPr>
          <w:rFonts w:ascii="Calibri" w:hAnsi="Calibri"/>
          <w:lang w:val="en-US"/>
        </w:rPr>
        <w:t xml:space="preserve">Explore next steps </w:t>
      </w:r>
    </w:p>
    <w:p w14:paraId="0C3A2098" w14:textId="77777777" w:rsidR="00CD0C44" w:rsidRDefault="00CD0C44" w:rsidP="00CD0C44"/>
    <w:sectPr w:rsidR="00CD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60DA9"/>
    <w:multiLevelType w:val="hybridMultilevel"/>
    <w:tmpl w:val="8A72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CE7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44"/>
    <w:rsid w:val="00775CBD"/>
    <w:rsid w:val="009C0A78"/>
    <w:rsid w:val="009C71D7"/>
    <w:rsid w:val="00C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4134"/>
  <w15:chartTrackingRefBased/>
  <w15:docId w15:val="{AE454B8B-33EA-4564-8AD7-30EFE41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4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Rattray</dc:creator>
  <cp:keywords/>
  <dc:description/>
  <cp:lastModifiedBy>Pamela Dewar</cp:lastModifiedBy>
  <cp:revision>2</cp:revision>
  <dcterms:created xsi:type="dcterms:W3CDTF">2021-07-01T15:25:00Z</dcterms:created>
  <dcterms:modified xsi:type="dcterms:W3CDTF">2021-07-01T15:25:00Z</dcterms:modified>
</cp:coreProperties>
</file>