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0D5" w14:textId="514F50EB" w:rsidR="0061223B" w:rsidRPr="000646AF" w:rsidRDefault="005555E6" w:rsidP="00292440">
      <w:pPr>
        <w:jc w:val="center"/>
        <w:rPr>
          <w:sz w:val="40"/>
        </w:rPr>
      </w:pPr>
      <w:r w:rsidRPr="000646AF">
        <w:rPr>
          <w:noProof/>
          <w:sz w:val="40"/>
          <w:lang w:eastAsia="en-GB"/>
        </w:rPr>
        <w:drawing>
          <wp:anchor distT="0" distB="0" distL="114300" distR="114300" simplePos="0" relativeHeight="251659264" behindDoc="1" locked="0" layoutInCell="1" allowOverlap="1" wp14:anchorId="31BC2118" wp14:editId="31BC2119">
            <wp:simplePos x="0" y="0"/>
            <wp:positionH relativeFrom="column">
              <wp:posOffset>4667250</wp:posOffset>
            </wp:positionH>
            <wp:positionV relativeFrom="page">
              <wp:posOffset>420204</wp:posOffset>
            </wp:positionV>
            <wp:extent cx="1637665" cy="741680"/>
            <wp:effectExtent l="0" t="0" r="635" b="1270"/>
            <wp:wrapTight wrapText="bothSides">
              <wp:wrapPolygon edited="0">
                <wp:start x="16332" y="0"/>
                <wp:lineTo x="15076" y="1110"/>
                <wp:lineTo x="13568" y="6103"/>
                <wp:lineTo x="13568" y="8877"/>
                <wp:lineTo x="0" y="17199"/>
                <wp:lineTo x="0" y="20527"/>
                <wp:lineTo x="8543" y="21082"/>
                <wp:lineTo x="14824" y="21082"/>
                <wp:lineTo x="18845" y="21082"/>
                <wp:lineTo x="21357" y="19973"/>
                <wp:lineTo x="21357" y="5548"/>
                <wp:lineTo x="20101" y="1664"/>
                <wp:lineTo x="18593"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F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7665" cy="741680"/>
                    </a:xfrm>
                    <a:prstGeom prst="rect">
                      <a:avLst/>
                    </a:prstGeom>
                  </pic:spPr>
                </pic:pic>
              </a:graphicData>
            </a:graphic>
            <wp14:sizeRelH relativeFrom="margin">
              <wp14:pctWidth>0</wp14:pctWidth>
            </wp14:sizeRelH>
            <wp14:sizeRelV relativeFrom="margin">
              <wp14:pctHeight>0</wp14:pctHeight>
            </wp14:sizeRelV>
          </wp:anchor>
        </w:drawing>
      </w:r>
      <w:r w:rsidRPr="000646AF">
        <w:rPr>
          <w:noProof/>
          <w:sz w:val="40"/>
          <w:lang w:eastAsia="en-GB"/>
        </w:rPr>
        <w:drawing>
          <wp:anchor distT="0" distB="0" distL="114300" distR="114300" simplePos="0" relativeHeight="251658240" behindDoc="1" locked="0" layoutInCell="1" allowOverlap="1" wp14:anchorId="31BC211A" wp14:editId="31BC211B">
            <wp:simplePos x="0" y="0"/>
            <wp:positionH relativeFrom="column">
              <wp:posOffset>-476885</wp:posOffset>
            </wp:positionH>
            <wp:positionV relativeFrom="page">
              <wp:posOffset>609738</wp:posOffset>
            </wp:positionV>
            <wp:extent cx="1486535" cy="553085"/>
            <wp:effectExtent l="0" t="0" r="0" b="0"/>
            <wp:wrapTight wrapText="bothSides">
              <wp:wrapPolygon edited="0">
                <wp:start x="0" y="0"/>
                <wp:lineTo x="0" y="20831"/>
                <wp:lineTo x="21314" y="20831"/>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6535" cy="553085"/>
                    </a:xfrm>
                    <a:prstGeom prst="rect">
                      <a:avLst/>
                    </a:prstGeom>
                  </pic:spPr>
                </pic:pic>
              </a:graphicData>
            </a:graphic>
            <wp14:sizeRelH relativeFrom="margin">
              <wp14:pctWidth>0</wp14:pctWidth>
            </wp14:sizeRelH>
            <wp14:sizeRelV relativeFrom="margin">
              <wp14:pctHeight>0</wp14:pctHeight>
            </wp14:sizeRelV>
          </wp:anchor>
        </w:drawing>
      </w:r>
      <w:r w:rsidR="000646AF" w:rsidRPr="000646AF">
        <w:rPr>
          <w:sz w:val="40"/>
        </w:rPr>
        <w:t>Education Through Cashback</w:t>
      </w:r>
    </w:p>
    <w:p w14:paraId="31BC20D6" w14:textId="77777777" w:rsidR="000646AF" w:rsidRPr="000646AF" w:rsidRDefault="000646AF" w:rsidP="00292440">
      <w:pPr>
        <w:jc w:val="center"/>
        <w:rPr>
          <w:sz w:val="40"/>
        </w:rPr>
      </w:pPr>
      <w:r w:rsidRPr="000646AF">
        <w:rPr>
          <w:sz w:val="40"/>
        </w:rPr>
        <w:t>Booking Information</w:t>
      </w:r>
    </w:p>
    <w:p w14:paraId="31BC20D7" w14:textId="77777777" w:rsidR="005555E6" w:rsidRDefault="005555E6">
      <w:pPr>
        <w:rPr>
          <w:b/>
        </w:rPr>
      </w:pPr>
    </w:p>
    <w:p w14:paraId="31BC20D8" w14:textId="77777777" w:rsidR="000646AF" w:rsidRPr="0061314A" w:rsidRDefault="000646AF" w:rsidP="000646AF">
      <w:pPr>
        <w:rPr>
          <w:b/>
          <w:sz w:val="28"/>
          <w:szCs w:val="28"/>
          <w:u w:val="single"/>
        </w:rPr>
      </w:pPr>
      <w:r w:rsidRPr="0061314A">
        <w:rPr>
          <w:b/>
          <w:sz w:val="28"/>
          <w:szCs w:val="28"/>
          <w:u w:val="single"/>
        </w:rPr>
        <w:t>How is ETC delivered and how long does it take?</w:t>
      </w:r>
    </w:p>
    <w:p w14:paraId="31BC20D9" w14:textId="77777777" w:rsidR="000646AF" w:rsidRDefault="000646AF" w:rsidP="000646AF">
      <w:pPr>
        <w:pStyle w:val="ListParagraph"/>
        <w:numPr>
          <w:ilvl w:val="0"/>
          <w:numId w:val="8"/>
        </w:numPr>
        <w:spacing w:after="120" w:line="240" w:lineRule="auto"/>
        <w:ind w:hanging="357"/>
      </w:pPr>
      <w:r>
        <w:t>Please see below the duration each module will take to complete. </w:t>
      </w:r>
    </w:p>
    <w:p w14:paraId="31BC20DA" w14:textId="77777777" w:rsidR="000646AF" w:rsidRDefault="000646AF" w:rsidP="000646AF">
      <w:pPr>
        <w:pStyle w:val="ListParagraph"/>
        <w:numPr>
          <w:ilvl w:val="1"/>
          <w:numId w:val="8"/>
        </w:numPr>
        <w:spacing w:after="120" w:line="240" w:lineRule="auto"/>
        <w:ind w:hanging="357"/>
      </w:pPr>
      <w:r>
        <w:t xml:space="preserve">Working With Young People </w:t>
      </w:r>
      <w:proofErr w:type="gramStart"/>
      <w:r>
        <w:t>In</w:t>
      </w:r>
      <w:proofErr w:type="gramEnd"/>
      <w:r>
        <w:t xml:space="preserve"> Sport – 4 hours, or 6 hours SCQF</w:t>
      </w:r>
    </w:p>
    <w:p w14:paraId="31BC20DB" w14:textId="7877C961" w:rsidR="000646AF" w:rsidRDefault="000646AF" w:rsidP="000646AF">
      <w:pPr>
        <w:pStyle w:val="ListParagraph"/>
        <w:numPr>
          <w:ilvl w:val="1"/>
          <w:numId w:val="8"/>
        </w:numPr>
        <w:spacing w:after="120" w:line="240" w:lineRule="auto"/>
        <w:ind w:hanging="357"/>
        <w:contextualSpacing w:val="0"/>
      </w:pPr>
      <w:r>
        <w:t>All other modules – 3 hours, or 4 hours SCQF</w:t>
      </w:r>
      <w:r w:rsidR="00D838F1">
        <w:t xml:space="preserve"> (please note </w:t>
      </w:r>
      <w:r w:rsidR="00191BD6">
        <w:t>our</w:t>
      </w:r>
      <w:r w:rsidR="00C7568E">
        <w:t xml:space="preserve"> Mental Health and Wellbeing in Sport </w:t>
      </w:r>
      <w:r w:rsidR="00E16794">
        <w:t>module</w:t>
      </w:r>
      <w:r w:rsidR="00191BD6">
        <w:t xml:space="preserve"> is not currently SCQF accredited) </w:t>
      </w:r>
      <w:r w:rsidR="00E16794">
        <w:t xml:space="preserve"> </w:t>
      </w:r>
    </w:p>
    <w:p w14:paraId="31BC20DC" w14:textId="72CAD59B" w:rsidR="000646AF" w:rsidRDefault="000646AF" w:rsidP="000646AF">
      <w:pPr>
        <w:pStyle w:val="ListParagraph"/>
        <w:numPr>
          <w:ilvl w:val="0"/>
          <w:numId w:val="8"/>
        </w:numPr>
        <w:spacing w:after="120" w:line="240" w:lineRule="auto"/>
        <w:contextualSpacing w:val="0"/>
      </w:pPr>
      <w:r>
        <w:t>We can split modules in half and deliver over t</w:t>
      </w:r>
      <w:r w:rsidR="00F13A72">
        <w:t>w</w:t>
      </w:r>
      <w:r>
        <w:t>o weeks if timing suits better this way. Modules can be delivered in any order and you can complete as many or as few as suits the group</w:t>
      </w:r>
    </w:p>
    <w:p w14:paraId="31BC20DD" w14:textId="44F996B7" w:rsidR="0061314A" w:rsidRDefault="000646AF" w:rsidP="0061314A">
      <w:pPr>
        <w:pStyle w:val="ListParagraph"/>
        <w:numPr>
          <w:ilvl w:val="0"/>
          <w:numId w:val="8"/>
        </w:numPr>
        <w:spacing w:after="120" w:line="240" w:lineRule="auto"/>
        <w:contextualSpacing w:val="0"/>
      </w:pPr>
      <w:r>
        <w:t>Modules can be delivered on weekdays, evening</w:t>
      </w:r>
      <w:r w:rsidR="00D503B6">
        <w:t>s</w:t>
      </w:r>
      <w:r w:rsidR="00647B0F">
        <w:t>,</w:t>
      </w:r>
      <w:r>
        <w:t xml:space="preserve"> or weekends; we work with each organiser to suit the group.</w:t>
      </w:r>
    </w:p>
    <w:p w14:paraId="1D2853B4" w14:textId="56F298E9" w:rsidR="00791F33" w:rsidRDefault="000C3F69" w:rsidP="0061314A">
      <w:pPr>
        <w:pStyle w:val="ListParagraph"/>
        <w:numPr>
          <w:ilvl w:val="0"/>
          <w:numId w:val="8"/>
        </w:numPr>
        <w:spacing w:after="120" w:line="240" w:lineRule="auto"/>
        <w:contextualSpacing w:val="0"/>
      </w:pPr>
      <w:r>
        <w:t>As a result of COVID-19, our modu</w:t>
      </w:r>
      <w:r w:rsidR="00A14246">
        <w:t>les are currently being delivered online</w:t>
      </w:r>
      <w:r w:rsidR="00887437">
        <w:t xml:space="preserve">. </w:t>
      </w:r>
      <w:r w:rsidR="000A6030">
        <w:t xml:space="preserve">Face-to-face deliveries will resume on a case-by-case basis, in line with ongoing government guidance. </w:t>
      </w:r>
      <w:r w:rsidR="00EC39FA">
        <w:t>Please get in touch to discuss</w:t>
      </w:r>
      <w:r w:rsidR="00647B0F">
        <w:t xml:space="preserve"> further</w:t>
      </w:r>
      <w:r w:rsidR="00EC39FA">
        <w:t xml:space="preserve">. </w:t>
      </w:r>
    </w:p>
    <w:p w14:paraId="31BC20DE" w14:textId="77777777" w:rsidR="000646AF" w:rsidRDefault="000646AF" w:rsidP="000646AF">
      <w:pPr>
        <w:pStyle w:val="ListParagraph"/>
        <w:spacing w:after="0" w:line="240" w:lineRule="auto"/>
        <w:ind w:left="1440"/>
        <w:contextualSpacing w:val="0"/>
      </w:pPr>
    </w:p>
    <w:p w14:paraId="31BC20DF" w14:textId="77777777" w:rsidR="000646AF" w:rsidRPr="0061314A" w:rsidRDefault="000646AF" w:rsidP="000646AF">
      <w:pPr>
        <w:spacing w:after="120"/>
        <w:rPr>
          <w:b/>
          <w:sz w:val="28"/>
          <w:u w:val="single"/>
        </w:rPr>
      </w:pPr>
      <w:r w:rsidRPr="0061314A">
        <w:rPr>
          <w:b/>
          <w:sz w:val="28"/>
          <w:u w:val="single"/>
        </w:rPr>
        <w:t>What ETC provide</w:t>
      </w:r>
    </w:p>
    <w:p w14:paraId="31BC20E0" w14:textId="77777777" w:rsidR="000646AF" w:rsidRDefault="000646AF" w:rsidP="000646AF">
      <w:pPr>
        <w:pStyle w:val="ListParagraph"/>
        <w:numPr>
          <w:ilvl w:val="0"/>
          <w:numId w:val="3"/>
        </w:numPr>
        <w:spacing w:after="120"/>
      </w:pPr>
      <w:r>
        <w:t>Experienced and knowledgeable tutors who can adapt delivery to suit the needs of the group</w:t>
      </w:r>
    </w:p>
    <w:p w14:paraId="31BC20E1" w14:textId="5978FD06" w:rsidR="000646AF" w:rsidRDefault="000646AF" w:rsidP="000646AF">
      <w:pPr>
        <w:pStyle w:val="ListParagraph"/>
        <w:numPr>
          <w:ilvl w:val="0"/>
          <w:numId w:val="3"/>
        </w:numPr>
        <w:spacing w:after="120"/>
      </w:pPr>
      <w:r>
        <w:t xml:space="preserve">Participant resources, including individual </w:t>
      </w:r>
      <w:r w:rsidR="001725FD">
        <w:t>electronic booklets.</w:t>
      </w:r>
    </w:p>
    <w:p w14:paraId="31BC20E2" w14:textId="07E59036" w:rsidR="000646AF" w:rsidRDefault="000646AF" w:rsidP="000646AF">
      <w:pPr>
        <w:pStyle w:val="ListParagraph"/>
        <w:numPr>
          <w:ilvl w:val="0"/>
          <w:numId w:val="3"/>
        </w:numPr>
        <w:spacing w:after="120"/>
      </w:pPr>
      <w:r>
        <w:t>SCQF accreditation and certification</w:t>
      </w:r>
      <w:r w:rsidR="00855851">
        <w:t xml:space="preserve"> (for relevant modules)</w:t>
      </w:r>
    </w:p>
    <w:p w14:paraId="31BC20E3" w14:textId="77777777" w:rsidR="000646AF" w:rsidRDefault="000646AF" w:rsidP="000646AF">
      <w:pPr>
        <w:pStyle w:val="ListParagraph"/>
        <w:numPr>
          <w:ilvl w:val="0"/>
          <w:numId w:val="3"/>
        </w:numPr>
        <w:spacing w:after="120"/>
      </w:pPr>
      <w:r>
        <w:t>Pre- and post-course support</w:t>
      </w:r>
    </w:p>
    <w:p w14:paraId="31BC20E4" w14:textId="79E16446" w:rsidR="000646AF" w:rsidRPr="0061314A" w:rsidRDefault="000646AF" w:rsidP="0061314A">
      <w:pPr>
        <w:spacing w:before="240" w:after="120"/>
        <w:rPr>
          <w:b/>
          <w:sz w:val="28"/>
          <w:u w:val="single"/>
        </w:rPr>
      </w:pPr>
      <w:r w:rsidRPr="0061314A">
        <w:rPr>
          <w:b/>
          <w:sz w:val="28"/>
          <w:u w:val="single"/>
        </w:rPr>
        <w:t>W</w:t>
      </w:r>
      <w:r w:rsidR="007034B9">
        <w:rPr>
          <w:b/>
          <w:sz w:val="28"/>
          <w:u w:val="single"/>
        </w:rPr>
        <w:t>hat we</w:t>
      </w:r>
      <w:r w:rsidRPr="0061314A">
        <w:rPr>
          <w:b/>
          <w:sz w:val="28"/>
          <w:u w:val="single"/>
        </w:rPr>
        <w:t xml:space="preserve"> ask course organisers to provide</w:t>
      </w:r>
    </w:p>
    <w:p w14:paraId="31BC20E5" w14:textId="433C063E" w:rsidR="000646AF" w:rsidRDefault="000646AF" w:rsidP="000646AF">
      <w:pPr>
        <w:pStyle w:val="ListParagraph"/>
        <w:numPr>
          <w:ilvl w:val="0"/>
          <w:numId w:val="4"/>
        </w:numPr>
        <w:spacing w:after="120"/>
      </w:pPr>
      <w:r>
        <w:t>Venue</w:t>
      </w:r>
      <w:r w:rsidR="00EC39FA">
        <w:t xml:space="preserve"> (unless delivered online)</w:t>
      </w:r>
    </w:p>
    <w:p w14:paraId="31BC20E6" w14:textId="520262FE" w:rsidR="000646AF" w:rsidRDefault="000646AF" w:rsidP="000646AF">
      <w:pPr>
        <w:pStyle w:val="ListParagraph"/>
        <w:numPr>
          <w:ilvl w:val="0"/>
          <w:numId w:val="4"/>
        </w:numPr>
        <w:spacing w:after="120"/>
      </w:pPr>
      <w:r>
        <w:t>Registration</w:t>
      </w:r>
      <w:r w:rsidR="00C9231A">
        <w:t xml:space="preserve"> </w:t>
      </w:r>
      <w:r>
        <w:t>for</w:t>
      </w:r>
      <w:r w:rsidR="00C9231A">
        <w:t>m completed for</w:t>
      </w:r>
      <w:r>
        <w:t xml:space="preserve"> </w:t>
      </w:r>
      <w:proofErr w:type="gramStart"/>
      <w:r>
        <w:t>participants</w:t>
      </w:r>
      <w:proofErr w:type="gramEnd"/>
    </w:p>
    <w:p w14:paraId="3A1CDC01" w14:textId="5E2039C7" w:rsidR="00A97BA5" w:rsidRPr="00A97BA5" w:rsidRDefault="000646AF" w:rsidP="00A97BA5">
      <w:pPr>
        <w:pStyle w:val="ListParagraph"/>
        <w:numPr>
          <w:ilvl w:val="0"/>
          <w:numId w:val="4"/>
        </w:numPr>
        <w:spacing w:after="120"/>
      </w:pPr>
      <w:r>
        <w:t>Follow up case study information on how learning has been applied</w:t>
      </w:r>
    </w:p>
    <w:p w14:paraId="564AA6D6" w14:textId="46EB8629" w:rsidR="00A97BA5" w:rsidRPr="007F78E2" w:rsidRDefault="00A97BA5" w:rsidP="00D4003F">
      <w:pPr>
        <w:spacing w:before="240"/>
        <w:rPr>
          <w:b/>
          <w:sz w:val="28"/>
          <w:u w:val="single"/>
        </w:rPr>
      </w:pPr>
      <w:r w:rsidRPr="007F78E2">
        <w:rPr>
          <w:b/>
          <w:sz w:val="28"/>
          <w:u w:val="single"/>
        </w:rPr>
        <w:t>Booking</w:t>
      </w:r>
    </w:p>
    <w:p w14:paraId="08EF408E" w14:textId="613AC4DD" w:rsidR="00A97BA5" w:rsidRDefault="00A97BA5" w:rsidP="00A97BA5">
      <w:pPr>
        <w:pStyle w:val="ListParagraph"/>
        <w:numPr>
          <w:ilvl w:val="0"/>
          <w:numId w:val="10"/>
        </w:numPr>
      </w:pPr>
      <w:r>
        <w:t>Modules can be booked via the ETC team, by completing a booking form and emailing it t</w:t>
      </w:r>
      <w:r w:rsidR="008A1027">
        <w:t>o</w:t>
      </w:r>
      <w:r w:rsidR="00A60BF6">
        <w:t xml:space="preserve"> </w:t>
      </w:r>
      <w:hyperlink r:id="rId12" w:history="1">
        <w:r w:rsidR="00E550B3" w:rsidRPr="00EA2D8E">
          <w:rPr>
            <w:rStyle w:val="Hyperlink"/>
          </w:rPr>
          <w:t>etc@ssf.org.uk</w:t>
        </w:r>
      </w:hyperlink>
      <w:r w:rsidR="00E550B3">
        <w:t xml:space="preserve"> </w:t>
      </w:r>
    </w:p>
    <w:p w14:paraId="6AA4330E" w14:textId="3682CE1B" w:rsidR="00A97BA5" w:rsidRPr="00A97BA5" w:rsidRDefault="00A97BA5" w:rsidP="00D4003F">
      <w:pPr>
        <w:pStyle w:val="ListParagraph"/>
        <w:numPr>
          <w:ilvl w:val="0"/>
          <w:numId w:val="10"/>
        </w:numPr>
      </w:pPr>
      <w:r>
        <w:t>Please complete and return booking forms no later than 2 weeks prior to delivery. However, we would ask for as much prior notice as possible when booking in deliveries, as this allows us to make sure tutors are available for your preferred dates.</w:t>
      </w:r>
    </w:p>
    <w:p w14:paraId="65EB3BB1" w14:textId="4EA02E54" w:rsidR="00A97BA5" w:rsidRPr="007F78E2" w:rsidRDefault="00A97BA5" w:rsidP="00D4003F">
      <w:pPr>
        <w:spacing w:before="240"/>
        <w:rPr>
          <w:b/>
          <w:sz w:val="28"/>
          <w:u w:val="single"/>
        </w:rPr>
      </w:pPr>
      <w:r w:rsidRPr="007F78E2">
        <w:rPr>
          <w:b/>
          <w:sz w:val="28"/>
          <w:u w:val="single"/>
        </w:rPr>
        <w:t>Cancellation</w:t>
      </w:r>
    </w:p>
    <w:p w14:paraId="0C5DE65F" w14:textId="77777777" w:rsidR="00A97BA5" w:rsidRDefault="00A97BA5" w:rsidP="00A97BA5">
      <w:pPr>
        <w:pStyle w:val="ListParagraph"/>
        <w:numPr>
          <w:ilvl w:val="0"/>
          <w:numId w:val="11"/>
        </w:numPr>
      </w:pPr>
      <w:r>
        <w:t>Please note there will be a 50% charge if courses are cancelled, or the number of tutors reduced, within 1 week prior to delivery, and 100% charge if cancelled within 24 hours prior to delivery.</w:t>
      </w:r>
    </w:p>
    <w:sectPr w:rsidR="00A97BA5" w:rsidSect="00EC5F9F">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9F0F" w14:textId="77777777" w:rsidR="00EC7D23" w:rsidRDefault="00EC7D23" w:rsidP="00EC5F9F">
      <w:pPr>
        <w:spacing w:after="0" w:line="240" w:lineRule="auto"/>
      </w:pPr>
      <w:r>
        <w:separator/>
      </w:r>
    </w:p>
  </w:endnote>
  <w:endnote w:type="continuationSeparator" w:id="0">
    <w:p w14:paraId="65C770E4" w14:textId="77777777" w:rsidR="00EC7D23" w:rsidRDefault="00EC7D23" w:rsidP="00EC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2120" w14:textId="07C695AF" w:rsidR="00EC5F9F" w:rsidRDefault="00EC5F9F" w:rsidP="00EC5F9F">
    <w:r>
      <w:t xml:space="preserve">The above information is accurate as of </w:t>
    </w:r>
    <w:r w:rsidR="00B442E0">
      <w:t>June</w:t>
    </w:r>
    <w:r w:rsidR="00606835">
      <w:t xml:space="preserve"> 20</w:t>
    </w:r>
    <w:r w:rsidR="00407103">
      <w:t>21</w:t>
    </w:r>
    <w:r>
      <w:t>. Next due for review March 20</w:t>
    </w:r>
    <w:r w:rsidR="00606835">
      <w:t>2</w:t>
    </w:r>
    <w:r w:rsidR="00407103">
      <w:t>2</w:t>
    </w:r>
    <w:r w:rsidR="00606835">
      <w:t>.</w:t>
    </w:r>
  </w:p>
  <w:p w14:paraId="31BC2121" w14:textId="77777777" w:rsidR="00EC5F9F" w:rsidRDefault="00EC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11D3" w14:textId="77777777" w:rsidR="00EC7D23" w:rsidRDefault="00EC7D23" w:rsidP="00EC5F9F">
      <w:pPr>
        <w:spacing w:after="0" w:line="240" w:lineRule="auto"/>
      </w:pPr>
      <w:r>
        <w:separator/>
      </w:r>
    </w:p>
  </w:footnote>
  <w:footnote w:type="continuationSeparator" w:id="0">
    <w:p w14:paraId="69FE0708" w14:textId="77777777" w:rsidR="00EC7D23" w:rsidRDefault="00EC7D23" w:rsidP="00EC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B60"/>
    <w:multiLevelType w:val="hybridMultilevel"/>
    <w:tmpl w:val="5D88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087"/>
    <w:multiLevelType w:val="hybridMultilevel"/>
    <w:tmpl w:val="B8B2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3369E"/>
    <w:multiLevelType w:val="hybridMultilevel"/>
    <w:tmpl w:val="1D0A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508F9"/>
    <w:multiLevelType w:val="hybridMultilevel"/>
    <w:tmpl w:val="056C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24030"/>
    <w:multiLevelType w:val="hybridMultilevel"/>
    <w:tmpl w:val="AD4E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42E6E"/>
    <w:multiLevelType w:val="hybridMultilevel"/>
    <w:tmpl w:val="81CC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B1B49"/>
    <w:multiLevelType w:val="hybridMultilevel"/>
    <w:tmpl w:val="0EC2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A0920"/>
    <w:multiLevelType w:val="hybridMultilevel"/>
    <w:tmpl w:val="9F54F5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9262F47"/>
    <w:multiLevelType w:val="hybridMultilevel"/>
    <w:tmpl w:val="CCC06002"/>
    <w:lvl w:ilvl="0" w:tplc="82244788">
      <w:numFmt w:val="bullet"/>
      <w:lvlText w:val=""/>
      <w:lvlJc w:val="left"/>
      <w:pPr>
        <w:ind w:left="1080" w:hanging="360"/>
      </w:pPr>
      <w:rPr>
        <w:rFonts w:hint="default"/>
        <w:w w:val="100"/>
      </w:rPr>
    </w:lvl>
    <w:lvl w:ilvl="1" w:tplc="C27CC66E">
      <w:start w:val="1"/>
      <w:numFmt w:val="decimal"/>
      <w:lvlText w:val="%2."/>
      <w:lvlJc w:val="left"/>
      <w:pPr>
        <w:ind w:left="2160" w:hanging="360"/>
        <w:jc w:val="left"/>
      </w:pPr>
      <w:rPr>
        <w:rFonts w:ascii="Calibri" w:eastAsia="Calibri" w:hAnsi="Calibri" w:cs="Calibri" w:hint="default"/>
        <w:w w:val="100"/>
        <w:sz w:val="22"/>
        <w:szCs w:val="22"/>
      </w:rPr>
    </w:lvl>
    <w:lvl w:ilvl="2" w:tplc="1AF8F4E8">
      <w:numFmt w:val="bullet"/>
      <w:lvlText w:val="•"/>
      <w:lvlJc w:val="left"/>
      <w:pPr>
        <w:ind w:left="3067" w:hanging="360"/>
      </w:pPr>
      <w:rPr>
        <w:rFonts w:hint="default"/>
      </w:rPr>
    </w:lvl>
    <w:lvl w:ilvl="3" w:tplc="E912FDAC">
      <w:numFmt w:val="bullet"/>
      <w:lvlText w:val="•"/>
      <w:lvlJc w:val="left"/>
      <w:pPr>
        <w:ind w:left="3974" w:hanging="360"/>
      </w:pPr>
      <w:rPr>
        <w:rFonts w:hint="default"/>
      </w:rPr>
    </w:lvl>
    <w:lvl w:ilvl="4" w:tplc="71CAF6AA">
      <w:numFmt w:val="bullet"/>
      <w:lvlText w:val="•"/>
      <w:lvlJc w:val="left"/>
      <w:pPr>
        <w:ind w:left="4882" w:hanging="360"/>
      </w:pPr>
      <w:rPr>
        <w:rFonts w:hint="default"/>
      </w:rPr>
    </w:lvl>
    <w:lvl w:ilvl="5" w:tplc="8E2C9EBA">
      <w:numFmt w:val="bullet"/>
      <w:lvlText w:val="•"/>
      <w:lvlJc w:val="left"/>
      <w:pPr>
        <w:ind w:left="5789" w:hanging="360"/>
      </w:pPr>
      <w:rPr>
        <w:rFonts w:hint="default"/>
      </w:rPr>
    </w:lvl>
    <w:lvl w:ilvl="6" w:tplc="C25E226E">
      <w:numFmt w:val="bullet"/>
      <w:lvlText w:val="•"/>
      <w:lvlJc w:val="left"/>
      <w:pPr>
        <w:ind w:left="6696" w:hanging="360"/>
      </w:pPr>
      <w:rPr>
        <w:rFonts w:hint="default"/>
      </w:rPr>
    </w:lvl>
    <w:lvl w:ilvl="7" w:tplc="62F25842">
      <w:numFmt w:val="bullet"/>
      <w:lvlText w:val="•"/>
      <w:lvlJc w:val="left"/>
      <w:pPr>
        <w:ind w:left="7604" w:hanging="360"/>
      </w:pPr>
      <w:rPr>
        <w:rFonts w:hint="default"/>
      </w:rPr>
    </w:lvl>
    <w:lvl w:ilvl="8" w:tplc="6AF8324A">
      <w:numFmt w:val="bullet"/>
      <w:lvlText w:val="•"/>
      <w:lvlJc w:val="left"/>
      <w:pPr>
        <w:ind w:left="8511" w:hanging="360"/>
      </w:pPr>
      <w:rPr>
        <w:rFonts w:hint="default"/>
      </w:rPr>
    </w:lvl>
  </w:abstractNum>
  <w:abstractNum w:abstractNumId="9" w15:restartNumberingAfterBreak="0">
    <w:nsid w:val="3B22473A"/>
    <w:multiLevelType w:val="hybridMultilevel"/>
    <w:tmpl w:val="8B3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147BC"/>
    <w:multiLevelType w:val="hybridMultilevel"/>
    <w:tmpl w:val="8F30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A6B86"/>
    <w:multiLevelType w:val="hybridMultilevel"/>
    <w:tmpl w:val="8BD4E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1232EDE"/>
    <w:multiLevelType w:val="hybridMultilevel"/>
    <w:tmpl w:val="3656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82A52"/>
    <w:multiLevelType w:val="hybridMultilevel"/>
    <w:tmpl w:val="71763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013D1A"/>
    <w:multiLevelType w:val="hybridMultilevel"/>
    <w:tmpl w:val="38D257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E27"/>
    <w:multiLevelType w:val="hybridMultilevel"/>
    <w:tmpl w:val="A1A8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0"/>
  </w:num>
  <w:num w:numId="5">
    <w:abstractNumId w:val="7"/>
  </w:num>
  <w:num w:numId="6">
    <w:abstractNumId w:val="10"/>
  </w:num>
  <w:num w:numId="7">
    <w:abstractNumId w:val="1"/>
  </w:num>
  <w:num w:numId="8">
    <w:abstractNumId w:val="13"/>
  </w:num>
  <w:num w:numId="9">
    <w:abstractNumId w:val="4"/>
  </w:num>
  <w:num w:numId="10">
    <w:abstractNumId w:val="5"/>
  </w:num>
  <w:num w:numId="11">
    <w:abstractNumId w:val="2"/>
  </w:num>
  <w:num w:numId="12">
    <w:abstractNumId w:val="9"/>
  </w:num>
  <w:num w:numId="13">
    <w:abstractNumId w:val="12"/>
  </w:num>
  <w:num w:numId="14">
    <w:abstractNumId w:val="8"/>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3B"/>
    <w:rsid w:val="000646AF"/>
    <w:rsid w:val="00074A8D"/>
    <w:rsid w:val="000A6030"/>
    <w:rsid w:val="000C3A93"/>
    <w:rsid w:val="000C3F69"/>
    <w:rsid w:val="000F3C2D"/>
    <w:rsid w:val="00104298"/>
    <w:rsid w:val="001725FD"/>
    <w:rsid w:val="001738DC"/>
    <w:rsid w:val="00174F3D"/>
    <w:rsid w:val="00191BD6"/>
    <w:rsid w:val="0019601E"/>
    <w:rsid w:val="001B20F9"/>
    <w:rsid w:val="00211BCA"/>
    <w:rsid w:val="00292440"/>
    <w:rsid w:val="0030423C"/>
    <w:rsid w:val="003449E8"/>
    <w:rsid w:val="003617C4"/>
    <w:rsid w:val="00363224"/>
    <w:rsid w:val="00377CE8"/>
    <w:rsid w:val="003873DD"/>
    <w:rsid w:val="003B3A4F"/>
    <w:rsid w:val="00407103"/>
    <w:rsid w:val="00410BAB"/>
    <w:rsid w:val="00423D82"/>
    <w:rsid w:val="0047617C"/>
    <w:rsid w:val="004F3D5A"/>
    <w:rsid w:val="00507DD7"/>
    <w:rsid w:val="005332A5"/>
    <w:rsid w:val="00542257"/>
    <w:rsid w:val="005555E6"/>
    <w:rsid w:val="005920A7"/>
    <w:rsid w:val="00606835"/>
    <w:rsid w:val="0061223B"/>
    <w:rsid w:val="0061314A"/>
    <w:rsid w:val="00647B0F"/>
    <w:rsid w:val="006927EF"/>
    <w:rsid w:val="006A41F9"/>
    <w:rsid w:val="006A71C8"/>
    <w:rsid w:val="006F5D4A"/>
    <w:rsid w:val="007034B9"/>
    <w:rsid w:val="00745247"/>
    <w:rsid w:val="00791F33"/>
    <w:rsid w:val="007922C8"/>
    <w:rsid w:val="00795791"/>
    <w:rsid w:val="007D43BB"/>
    <w:rsid w:val="007D50C7"/>
    <w:rsid w:val="007F78E2"/>
    <w:rsid w:val="00842A9D"/>
    <w:rsid w:val="00855851"/>
    <w:rsid w:val="008560FA"/>
    <w:rsid w:val="00873D80"/>
    <w:rsid w:val="00887437"/>
    <w:rsid w:val="008A1027"/>
    <w:rsid w:val="008F5923"/>
    <w:rsid w:val="00905E86"/>
    <w:rsid w:val="00A12CDE"/>
    <w:rsid w:val="00A14246"/>
    <w:rsid w:val="00A4660A"/>
    <w:rsid w:val="00A60BF6"/>
    <w:rsid w:val="00A97BA5"/>
    <w:rsid w:val="00B442E0"/>
    <w:rsid w:val="00C41708"/>
    <w:rsid w:val="00C45759"/>
    <w:rsid w:val="00C57A00"/>
    <w:rsid w:val="00C74FAF"/>
    <w:rsid w:val="00C7568E"/>
    <w:rsid w:val="00C9231A"/>
    <w:rsid w:val="00CF5F95"/>
    <w:rsid w:val="00D16993"/>
    <w:rsid w:val="00D4003F"/>
    <w:rsid w:val="00D503B6"/>
    <w:rsid w:val="00D838F1"/>
    <w:rsid w:val="00D96E0E"/>
    <w:rsid w:val="00E13237"/>
    <w:rsid w:val="00E16794"/>
    <w:rsid w:val="00E239DE"/>
    <w:rsid w:val="00E267DF"/>
    <w:rsid w:val="00E40B42"/>
    <w:rsid w:val="00E550B3"/>
    <w:rsid w:val="00E84345"/>
    <w:rsid w:val="00EC39FA"/>
    <w:rsid w:val="00EC5F9F"/>
    <w:rsid w:val="00EC7D23"/>
    <w:rsid w:val="00F13A72"/>
    <w:rsid w:val="00F15B47"/>
    <w:rsid w:val="00F32865"/>
    <w:rsid w:val="00F33B29"/>
    <w:rsid w:val="00F85B62"/>
    <w:rsid w:val="00FB68BC"/>
    <w:rsid w:val="00FF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20D5"/>
  <w15:chartTrackingRefBased/>
  <w15:docId w15:val="{2585127F-5B8D-4022-89C0-C75A495C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4345"/>
    <w:pPr>
      <w:widowControl w:val="0"/>
      <w:autoSpaceDE w:val="0"/>
      <w:autoSpaceDN w:val="0"/>
      <w:spacing w:before="1" w:after="0" w:line="240" w:lineRule="auto"/>
      <w:ind w:left="880"/>
      <w:outlineLvl w:val="0"/>
    </w:pPr>
    <w:rPr>
      <w:rFonts w:ascii="Calibri" w:eastAsia="Calibri" w:hAnsi="Calibri" w:cs="Calibri"/>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1223B"/>
    <w:pPr>
      <w:ind w:left="720"/>
      <w:contextualSpacing/>
    </w:pPr>
  </w:style>
  <w:style w:type="character" w:styleId="Hyperlink">
    <w:name w:val="Hyperlink"/>
    <w:basedOn w:val="DefaultParagraphFont"/>
    <w:uiPriority w:val="99"/>
    <w:unhideWhenUsed/>
    <w:rsid w:val="005555E6"/>
    <w:rPr>
      <w:color w:val="0563C1" w:themeColor="hyperlink"/>
      <w:u w:val="single"/>
    </w:rPr>
  </w:style>
  <w:style w:type="paragraph" w:styleId="BalloonText">
    <w:name w:val="Balloon Text"/>
    <w:basedOn w:val="Normal"/>
    <w:link w:val="BalloonTextChar"/>
    <w:uiPriority w:val="99"/>
    <w:semiHidden/>
    <w:unhideWhenUsed/>
    <w:rsid w:val="00173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8DC"/>
    <w:rPr>
      <w:rFonts w:ascii="Segoe UI" w:hAnsi="Segoe UI" w:cs="Segoe UI"/>
      <w:sz w:val="18"/>
      <w:szCs w:val="18"/>
    </w:rPr>
  </w:style>
  <w:style w:type="paragraph" w:styleId="Header">
    <w:name w:val="header"/>
    <w:basedOn w:val="Normal"/>
    <w:link w:val="HeaderChar"/>
    <w:uiPriority w:val="99"/>
    <w:unhideWhenUsed/>
    <w:rsid w:val="00EC5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F9F"/>
  </w:style>
  <w:style w:type="paragraph" w:styleId="Footer">
    <w:name w:val="footer"/>
    <w:basedOn w:val="Normal"/>
    <w:link w:val="FooterChar"/>
    <w:uiPriority w:val="99"/>
    <w:unhideWhenUsed/>
    <w:rsid w:val="00EC5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F9F"/>
  </w:style>
  <w:style w:type="character" w:styleId="UnresolvedMention">
    <w:name w:val="Unresolved Mention"/>
    <w:basedOn w:val="DefaultParagraphFont"/>
    <w:uiPriority w:val="99"/>
    <w:semiHidden/>
    <w:unhideWhenUsed/>
    <w:rsid w:val="00C57A00"/>
    <w:rPr>
      <w:color w:val="605E5C"/>
      <w:shd w:val="clear" w:color="auto" w:fill="E1DFDD"/>
    </w:rPr>
  </w:style>
  <w:style w:type="character" w:customStyle="1" w:styleId="Heading1Char">
    <w:name w:val="Heading 1 Char"/>
    <w:basedOn w:val="DefaultParagraphFont"/>
    <w:link w:val="Heading1"/>
    <w:uiPriority w:val="9"/>
    <w:rsid w:val="00E84345"/>
    <w:rPr>
      <w:rFonts w:ascii="Calibri" w:eastAsia="Calibri" w:hAnsi="Calibri" w:cs="Calibri"/>
      <w:b/>
      <w:bCs/>
      <w:sz w:val="28"/>
      <w:szCs w:val="28"/>
      <w:u w:val="single" w:color="000000"/>
      <w:lang w:val="en-US"/>
    </w:rPr>
  </w:style>
  <w:style w:type="paragraph" w:customStyle="1" w:styleId="TableParagraph">
    <w:name w:val="Table Paragraph"/>
    <w:basedOn w:val="Normal"/>
    <w:uiPriority w:val="1"/>
    <w:qFormat/>
    <w:rsid w:val="00E84345"/>
    <w:pPr>
      <w:widowControl w:val="0"/>
      <w:autoSpaceDE w:val="0"/>
      <w:autoSpaceDN w:val="0"/>
      <w:spacing w:after="0" w:line="268" w:lineRule="exact"/>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3" ma:contentTypeDescription="Create a new document." ma:contentTypeScope="" ma:versionID="c33709a771c0a5aca8ef6b7744f3bdcc">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9471a7866d95fcda6764a856a7f4edf2"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D6295-05B0-478B-87A0-CC66D921EFE8}">
  <ds:schemaRefs>
    <ds:schemaRef ds:uri="http://schemas.microsoft.com/sharepoint/v3/contenttype/forms"/>
  </ds:schemaRefs>
</ds:datastoreItem>
</file>

<file path=customXml/itemProps2.xml><?xml version="1.0" encoding="utf-8"?>
<ds:datastoreItem xmlns:ds="http://schemas.openxmlformats.org/officeDocument/2006/customXml" ds:itemID="{88CA421A-F8A6-4DE8-A4BE-E86BE5A40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FFB7BA-6D61-4E7D-8805-1EE63DB1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bb0b-1d68-4942-84ec-e629e07a3863"/>
    <ds:schemaRef ds:uri="d5f1190f-eeac-4995-a28c-d8c3fd53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Furniss</dc:creator>
  <cp:keywords/>
  <dc:description/>
  <cp:lastModifiedBy>Martyn Horsfield</cp:lastModifiedBy>
  <cp:revision>3</cp:revision>
  <cp:lastPrinted>2018-08-17T13:28:00Z</cp:lastPrinted>
  <dcterms:created xsi:type="dcterms:W3CDTF">2021-07-01T14:34:00Z</dcterms:created>
  <dcterms:modified xsi:type="dcterms:W3CDTF">2021-07-01T14:35:00Z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0x010100E63A4A899EE51547BA0173C5E95669A6</vt:lpwstr>
  </property>
</Properties>
</file>